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D09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18EE3003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B2B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ENERGY MANAGEMENT AND AUDIT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A5098" w:rsidP="00AA5098">
            <w:pPr>
              <w:jc w:val="both"/>
            </w:pPr>
            <w:r>
              <w:t xml:space="preserve">With </w:t>
            </w:r>
            <w:r w:rsidR="008251A0">
              <w:t>suitable</w:t>
            </w:r>
            <w:r>
              <w:t xml:space="preserve"> example, elaborate the energy conservation </w:t>
            </w:r>
            <w:r w:rsidR="008251A0">
              <w:t>opportunities</w:t>
            </w:r>
            <w:r>
              <w:t xml:space="preserve"> in an agricultural and household sector.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314C" w:rsidP="00193F27">
            <w:pPr>
              <w:jc w:val="center"/>
            </w:pPr>
            <w:r>
              <w:t>1</w:t>
            </w:r>
            <w:r w:rsidR="00AA5098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6501" w:rsidRPr="00463DFA" w:rsidRDefault="00E46501" w:rsidP="00E4650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3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Case Study problem on Fuel Substitution: A</w:t>
            </w:r>
            <w:r w:rsidRPr="00463D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3DFA">
              <w:rPr>
                <w:rFonts w:ascii="Times New Roman" w:hAnsi="Times New Roman"/>
                <w:color w:val="000000"/>
                <w:sz w:val="24"/>
                <w:szCs w:val="24"/>
              </w:rPr>
              <w:t>textile process industry replaced old fuel oil fired thermic fluid heater with agro fuel fired heater. The economics of the project are given below:</w:t>
            </w:r>
          </w:p>
          <w:p w:rsidR="00E46501" w:rsidRPr="00791026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791026">
              <w:rPr>
                <w:rFonts w:eastAsiaTheme="minorHAnsi"/>
                <w:b/>
                <w:bCs/>
                <w:color w:val="000000"/>
                <w:u w:val="single"/>
              </w:rPr>
              <w:t xml:space="preserve">Old System </w:t>
            </w:r>
          </w:p>
          <w:p w:rsidR="00E46501" w:rsidRPr="00791026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791026">
              <w:rPr>
                <w:rFonts w:eastAsiaTheme="minorHAnsi"/>
                <w:bCs/>
                <w:color w:val="000000"/>
              </w:rPr>
              <w:t xml:space="preserve">Type of fuel Firing : Furnace Oil fired heater </w:t>
            </w:r>
          </w:p>
          <w:p w:rsidR="00E46501" w:rsidRPr="00791026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791026">
              <w:rPr>
                <w:rFonts w:eastAsiaTheme="minorHAnsi"/>
                <w:color w:val="000000"/>
              </w:rPr>
              <w:t xml:space="preserve">GCV : 10,200 kCal/kg </w:t>
            </w:r>
          </w:p>
          <w:p w:rsidR="00E46501" w:rsidRPr="00791026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791026">
              <w:rPr>
                <w:rFonts w:eastAsiaTheme="minorHAnsi"/>
                <w:color w:val="000000"/>
              </w:rPr>
              <w:t xml:space="preserve">Avg. Thermal Efficiency : 82% </w:t>
            </w:r>
          </w:p>
          <w:p w:rsidR="00E46501" w:rsidRPr="00791026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791026">
              <w:rPr>
                <w:rFonts w:eastAsiaTheme="minorHAnsi"/>
                <w:color w:val="000000"/>
              </w:rPr>
              <w:t xml:space="preserve">Heat Duty : 15 lakh kCal / hour 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Operating Hours : 26</w:t>
            </w: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days x 12 month x 24 hours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Fuel cost per hour : 185</w:t>
            </w: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 Rs./hr</w:t>
            </w:r>
          </w:p>
          <w:p w:rsidR="00E46501" w:rsidRPr="00463DFA" w:rsidRDefault="00E46501" w:rsidP="00E4650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</w:rPr>
            </w:pPr>
            <w:r w:rsidRPr="00463DFA">
              <w:rPr>
                <w:rFonts w:eastAsiaTheme="minorHAnsi"/>
                <w:b/>
                <w:bCs/>
                <w:color w:val="000000"/>
                <w:u w:val="single"/>
              </w:rPr>
              <w:t xml:space="preserve">Modified System </w:t>
            </w:r>
          </w:p>
          <w:p w:rsidR="00E46501" w:rsidRPr="00463DFA" w:rsidRDefault="00E46501" w:rsidP="00E4650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463DFA">
              <w:rPr>
                <w:rFonts w:eastAsiaTheme="minorHAnsi"/>
                <w:b/>
                <w:bCs/>
                <w:color w:val="000000"/>
              </w:rPr>
              <w:t xml:space="preserve">Type of fuel saving = Coconut chips fired Heater </w:t>
            </w:r>
          </w:p>
          <w:p w:rsidR="00E46501" w:rsidRPr="00463DFA" w:rsidRDefault="00E46501" w:rsidP="00E4650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463DFA">
              <w:rPr>
                <w:rFonts w:eastAsiaTheme="minorHAnsi"/>
                <w:color w:val="000000"/>
              </w:rPr>
              <w:t xml:space="preserve">GCV = 4200 kCal/kg </w:t>
            </w:r>
          </w:p>
          <w:p w:rsidR="00E46501" w:rsidRPr="00463DFA" w:rsidRDefault="00E46501" w:rsidP="00E4650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 w:rsidRPr="00463DFA">
              <w:rPr>
                <w:rFonts w:eastAsiaTheme="minorHAnsi"/>
                <w:color w:val="000000"/>
              </w:rPr>
              <w:t xml:space="preserve">Average Thermal Efficiency = 72 % 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Heat Duty = 15 lakh kCal / hour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Fuel Cost : 72</w:t>
            </w: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 Rs./hr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Manpower Cost to operate the new system : 10 lakh</w:t>
            </w:r>
          </w:p>
          <w:p w:rsidR="00E46501" w:rsidRPr="00463DFA" w:rsidRDefault="00E46501" w:rsidP="00E46501">
            <w:pPr>
              <w:pStyle w:val="NoSpacing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63DF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Investment for New system : 35 lakh</w:t>
            </w:r>
          </w:p>
          <w:p w:rsidR="008C7BA2" w:rsidRPr="00EF5853" w:rsidRDefault="00E46501" w:rsidP="00E46501">
            <w:r w:rsidRPr="00463DFA">
              <w:rPr>
                <w:rFonts w:eastAsiaTheme="minorHAnsi"/>
                <w:color w:val="000000"/>
              </w:rPr>
              <w:t>Calculate the Simple payback period.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6501" w:rsidP="00193F2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61F21" w:rsidP="00C32275">
            <w:pPr>
              <w:jc w:val="both"/>
            </w:pPr>
            <w:r>
              <w:t>Give the importance of boiler water treatment and explain the external water treatment methods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61F21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12888" w:rsidP="00C32275">
            <w:pPr>
              <w:jc w:val="both"/>
            </w:pPr>
            <w:r>
              <w:t>Discuss the term economic thickness of insulation.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61F21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FB6D4A">
            <w:pPr>
              <w:jc w:val="both"/>
            </w:pPr>
            <w:r>
              <w:t xml:space="preserve">Elaborate the typical </w:t>
            </w:r>
            <w:r w:rsidR="008251A0">
              <w:t>billing</w:t>
            </w:r>
            <w:r>
              <w:t xml:space="preserve"> components of the two-part tariff structure of industrial utility.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10</w:t>
            </w: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2B6A" w:rsidRPr="00EF5853" w:rsidRDefault="006B2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2B6A" w:rsidRPr="00A55D15" w:rsidRDefault="006B2B6A" w:rsidP="00A55D15">
            <w:pPr>
              <w:jc w:val="both"/>
              <w:rPr>
                <w:szCs w:val="30"/>
              </w:rPr>
            </w:pPr>
            <w:r w:rsidRPr="00A55D15">
              <w:rPr>
                <w:szCs w:val="30"/>
              </w:rPr>
              <w:t>Briefly describe the methodology of lighting energy audit in an industrial facility.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9054A6" w:rsidP="008C7BA2">
            <w:pPr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054A6" w:rsidRDefault="009054A6" w:rsidP="009054A6">
            <w:pPr>
              <w:jc w:val="both"/>
            </w:pPr>
            <w:r w:rsidRPr="009054A6">
              <w:t>Explain the steps involved in the force field analysis. Taking your own industry as an example, list down the positive and negative forces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054A6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E025D2" w:rsidP="00E025D2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Energy consumption and production data were collected for a plant over a period of 18 months. During month 9, a heat recovery system was installed. Using the plant monthly data, estimate the savings made with the heat recovery system by CUMSUM analysis.</w:t>
            </w:r>
          </w:p>
          <w:p w:rsidR="008251A0" w:rsidRDefault="008251A0" w:rsidP="00E025D2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8251A0" w:rsidRDefault="008251A0" w:rsidP="00E025D2">
            <w:pPr>
              <w:jc w:val="both"/>
              <w:rPr>
                <w:color w:val="000000"/>
                <w:sz w:val="23"/>
                <w:szCs w:val="23"/>
              </w:rPr>
            </w:pPr>
          </w:p>
          <w:p w:rsidR="008251A0" w:rsidRDefault="008251A0" w:rsidP="00E025D2">
            <w:pPr>
              <w:jc w:val="both"/>
              <w:rPr>
                <w:color w:val="000000"/>
                <w:sz w:val="23"/>
                <w:szCs w:val="23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57"/>
              <w:gridCol w:w="2729"/>
              <w:gridCol w:w="2193"/>
            </w:tblGrid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lastRenderedPageBreak/>
                    <w:t xml:space="preserve">Month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>E</w:t>
                  </w:r>
                  <w:r>
                    <w:rPr>
                      <w:b/>
                      <w:bCs/>
                      <w:color w:val="000000"/>
                      <w:position w:val="-10"/>
                      <w:sz w:val="23"/>
                      <w:szCs w:val="23"/>
                      <w:vertAlign w:val="subscript"/>
                    </w:rPr>
                    <w:t xml:space="preserve">act </w:t>
                  </w: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- Monthly Energy Use </w:t>
                  </w:r>
                </w:p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( toe * / month)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P - Monthly Production </w:t>
                  </w:r>
                </w:p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( tonnes / month)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340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380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340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440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460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520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300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320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6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400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520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7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240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8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424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620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9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420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600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10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400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560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11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360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440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12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320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360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13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340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420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14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372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480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15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540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16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280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17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260 </w:t>
                  </w:r>
                </w:p>
              </w:tc>
            </w:tr>
            <w:tr w:rsidR="009F6160" w:rsidTr="009F6160">
              <w:tc>
                <w:tcPr>
                  <w:tcW w:w="1657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18 </w:t>
                  </w:r>
                </w:p>
              </w:tc>
              <w:tc>
                <w:tcPr>
                  <w:tcW w:w="2729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380 </w:t>
                  </w:r>
                </w:p>
              </w:tc>
              <w:tc>
                <w:tcPr>
                  <w:tcW w:w="2193" w:type="dxa"/>
                </w:tcPr>
                <w:p w:rsidR="009F6160" w:rsidRDefault="009F6160">
                  <w:pP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500 </w:t>
                  </w:r>
                </w:p>
              </w:tc>
            </w:tr>
          </w:tbl>
          <w:p w:rsidR="00E025D2" w:rsidRPr="00EF5853" w:rsidRDefault="00E025D2" w:rsidP="00E025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025D2" w:rsidP="00193F27">
            <w:pPr>
              <w:jc w:val="center"/>
            </w:pPr>
            <w:r>
              <w:t>1</w:t>
            </w:r>
            <w:r w:rsidR="009F6160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F6160" w:rsidP="009F6160">
            <w:pPr>
              <w:jc w:val="both"/>
            </w:pPr>
            <w:r>
              <w:t xml:space="preserve">Discuss </w:t>
            </w:r>
            <w:r w:rsidRPr="000271A8">
              <w:t>the role</w:t>
            </w:r>
            <w:r>
              <w:t>(s)</w:t>
            </w:r>
            <w:r w:rsidRPr="000271A8">
              <w:t xml:space="preserve"> of BEE in star labeling and also give the importance of labeling in domestic appliances.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058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6160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6B2B6A">
            <w:pPr>
              <w:jc w:val="both"/>
            </w:pPr>
            <w:r>
              <w:t xml:space="preserve">List down the duties and </w:t>
            </w:r>
            <w:r w:rsidRPr="004345AD">
              <w:t>responsibilities</w:t>
            </w:r>
            <w:r>
              <w:t xml:space="preserve"> of energy auditor in an industry.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7</w:t>
            </w: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2B6A" w:rsidRPr="00EF5853" w:rsidRDefault="006B2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2B6A" w:rsidRDefault="008251A0" w:rsidP="006B2B6A">
            <w:pPr>
              <w:jc w:val="both"/>
            </w:pPr>
            <w:r>
              <w:t>Briefly</w:t>
            </w:r>
            <w:r w:rsidR="006B2B6A">
              <w:t xml:space="preserve"> discuss the following terms in cogeneration with </w:t>
            </w:r>
            <w:r>
              <w:t>suitable</w:t>
            </w:r>
            <w:r w:rsidR="006B2B6A">
              <w:t xml:space="preserve"> examples:</w:t>
            </w:r>
          </w:p>
          <w:p w:rsidR="006B2B6A" w:rsidRDefault="006B2B6A" w:rsidP="008251A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Topping cycle</w:t>
            </w:r>
          </w:p>
          <w:p w:rsidR="006B2B6A" w:rsidRDefault="006B2B6A" w:rsidP="008251A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Botting cycle</w:t>
            </w:r>
          </w:p>
          <w:p w:rsidR="006B2B6A" w:rsidRPr="00EF5853" w:rsidRDefault="006B2B6A" w:rsidP="008251A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Heat-to-power ratio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9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B2B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6B2B6A">
            <w:pPr>
              <w:jc w:val="both"/>
            </w:pPr>
            <w:r>
              <w:t>Discuss the advantages of ceramic fibre with respective properties.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8</w:t>
            </w:r>
          </w:p>
        </w:tc>
      </w:tr>
      <w:tr w:rsidR="006B2B6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B2B6A" w:rsidRPr="00EF5853" w:rsidRDefault="006B2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6B2B6A">
            <w:pPr>
              <w:jc w:val="both"/>
            </w:pPr>
            <w:r>
              <w:t>Discuss the energy saving opportunities in an industrial lighting system.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6B2B6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B2B6A" w:rsidRPr="00841A21" w:rsidRDefault="006B2B6A" w:rsidP="00841A21">
            <w:pPr>
              <w:jc w:val="both"/>
            </w:pPr>
            <w:r w:rsidRPr="00841A21">
              <w:t xml:space="preserve">Calculate the internal rate of return for a economizer that will cost Rs.500,000, will last 10 years, and will result in fuel savings of Rs.150,000 each year. 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10</w:t>
            </w:r>
          </w:p>
        </w:tc>
      </w:tr>
      <w:tr w:rsidR="006B2B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2B6A" w:rsidRPr="00EF5853" w:rsidRDefault="006B2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961F2C">
            <w:pPr>
              <w:jc w:val="both"/>
            </w:pPr>
            <w:r w:rsidRPr="00A8665A">
              <w:rPr>
                <w:szCs w:val="30"/>
              </w:rPr>
              <w:t>Calculate simple payback pe</w:t>
            </w:r>
            <w:r>
              <w:rPr>
                <w:szCs w:val="30"/>
              </w:rPr>
              <w:t>riod for a boiler that cost Rs.50.00 lakhs to purchase and Rs.5</w:t>
            </w:r>
            <w:r w:rsidRPr="00A8665A">
              <w:rPr>
                <w:szCs w:val="30"/>
              </w:rPr>
              <w:t xml:space="preserve"> lakhs per year on an average to operate and maintain and i</w:t>
            </w:r>
            <w:r>
              <w:rPr>
                <w:szCs w:val="30"/>
              </w:rPr>
              <w:t>s expected to annually save Rs.15</w:t>
            </w:r>
            <w:r w:rsidRPr="00A8665A">
              <w:rPr>
                <w:szCs w:val="30"/>
              </w:rPr>
              <w:t xml:space="preserve"> lakhs</w:t>
            </w:r>
            <w:r>
              <w:rPr>
                <w:szCs w:val="30"/>
              </w:rPr>
              <w:t xml:space="preserve"> and also discuss the pros and cons of simple payback period.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6</w:t>
            </w:r>
          </w:p>
        </w:tc>
      </w:tr>
      <w:tr w:rsidR="006B2B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B2B6A" w:rsidRPr="00EF5853" w:rsidRDefault="006B2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B2B6A" w:rsidRPr="00EF5853" w:rsidRDefault="006B2B6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B2B6A" w:rsidRPr="00EF5853" w:rsidRDefault="006B2B6A" w:rsidP="00841A21">
            <w:pPr>
              <w:jc w:val="both"/>
            </w:pPr>
            <w:r w:rsidRPr="00841A21">
              <w:t xml:space="preserve">Name at least four financing options for energy management. </w:t>
            </w:r>
          </w:p>
        </w:tc>
        <w:tc>
          <w:tcPr>
            <w:tcW w:w="1170" w:type="dxa"/>
            <w:shd w:val="clear" w:color="auto" w:fill="auto"/>
          </w:tcPr>
          <w:p w:rsidR="006B2B6A" w:rsidRPr="00875196" w:rsidRDefault="006B2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B2B6A" w:rsidRPr="005814FF" w:rsidRDefault="006B2B6A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sectPr w:rsidR="008C7BA2" w:rsidSect="00C3227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63AA1"/>
    <w:multiLevelType w:val="hybridMultilevel"/>
    <w:tmpl w:val="D478A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F1E1C"/>
    <w:multiLevelType w:val="hybridMultilevel"/>
    <w:tmpl w:val="8F5E8F0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32A"/>
    <w:rsid w:val="00023B9E"/>
    <w:rsid w:val="00061821"/>
    <w:rsid w:val="00075A42"/>
    <w:rsid w:val="00075C35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330"/>
    <w:rsid w:val="003855ED"/>
    <w:rsid w:val="003855F1"/>
    <w:rsid w:val="003A53DB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2888"/>
    <w:rsid w:val="005133D7"/>
    <w:rsid w:val="00533607"/>
    <w:rsid w:val="0053576D"/>
    <w:rsid w:val="005527A4"/>
    <w:rsid w:val="00552CF0"/>
    <w:rsid w:val="005814FF"/>
    <w:rsid w:val="00581B1F"/>
    <w:rsid w:val="005D0F4A"/>
    <w:rsid w:val="005D3355"/>
    <w:rsid w:val="005D7A03"/>
    <w:rsid w:val="005F011C"/>
    <w:rsid w:val="0062605C"/>
    <w:rsid w:val="0064710A"/>
    <w:rsid w:val="00652C00"/>
    <w:rsid w:val="00670A67"/>
    <w:rsid w:val="00681B25"/>
    <w:rsid w:val="006B2B6A"/>
    <w:rsid w:val="006C1D35"/>
    <w:rsid w:val="006C39BE"/>
    <w:rsid w:val="006C7354"/>
    <w:rsid w:val="006F5CC8"/>
    <w:rsid w:val="00712B63"/>
    <w:rsid w:val="00714C68"/>
    <w:rsid w:val="0072172A"/>
    <w:rsid w:val="00725A0A"/>
    <w:rsid w:val="007326F6"/>
    <w:rsid w:val="007B0E13"/>
    <w:rsid w:val="00802202"/>
    <w:rsid w:val="00806A39"/>
    <w:rsid w:val="00814615"/>
    <w:rsid w:val="0081627E"/>
    <w:rsid w:val="008251A0"/>
    <w:rsid w:val="00841A21"/>
    <w:rsid w:val="00843AD7"/>
    <w:rsid w:val="00861F21"/>
    <w:rsid w:val="00875196"/>
    <w:rsid w:val="0088694D"/>
    <w:rsid w:val="0088784C"/>
    <w:rsid w:val="008A56BE"/>
    <w:rsid w:val="008A6193"/>
    <w:rsid w:val="008B0703"/>
    <w:rsid w:val="008C7BA2"/>
    <w:rsid w:val="008E5526"/>
    <w:rsid w:val="00904D12"/>
    <w:rsid w:val="009054A6"/>
    <w:rsid w:val="00911266"/>
    <w:rsid w:val="009226E1"/>
    <w:rsid w:val="00942884"/>
    <w:rsid w:val="0095679B"/>
    <w:rsid w:val="00961F2C"/>
    <w:rsid w:val="00963CB5"/>
    <w:rsid w:val="009B53DD"/>
    <w:rsid w:val="009C314C"/>
    <w:rsid w:val="009C5A1D"/>
    <w:rsid w:val="009D5611"/>
    <w:rsid w:val="009E09A3"/>
    <w:rsid w:val="009E4638"/>
    <w:rsid w:val="009F6160"/>
    <w:rsid w:val="00A47E2A"/>
    <w:rsid w:val="00A55D15"/>
    <w:rsid w:val="00A7564B"/>
    <w:rsid w:val="00AA3F2E"/>
    <w:rsid w:val="00AA5098"/>
    <w:rsid w:val="00AA5E39"/>
    <w:rsid w:val="00AA6B40"/>
    <w:rsid w:val="00AE264C"/>
    <w:rsid w:val="00B009B1"/>
    <w:rsid w:val="00B20598"/>
    <w:rsid w:val="00B253AE"/>
    <w:rsid w:val="00B32767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2275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5A4A"/>
    <w:rsid w:val="00D3698C"/>
    <w:rsid w:val="00D62341"/>
    <w:rsid w:val="00D64FF9"/>
    <w:rsid w:val="00D85619"/>
    <w:rsid w:val="00D94D54"/>
    <w:rsid w:val="00DB4E41"/>
    <w:rsid w:val="00DE0497"/>
    <w:rsid w:val="00E025D2"/>
    <w:rsid w:val="00E44059"/>
    <w:rsid w:val="00E46501"/>
    <w:rsid w:val="00E54572"/>
    <w:rsid w:val="00E5735F"/>
    <w:rsid w:val="00E577A9"/>
    <w:rsid w:val="00E70A47"/>
    <w:rsid w:val="00E80585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962F0"/>
    <w:rsid w:val="00FB6D4A"/>
    <w:rsid w:val="00FD09AE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075C3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E46501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E46501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2018-09-25T10:06:00Z</dcterms:created>
  <dcterms:modified xsi:type="dcterms:W3CDTF">2018-12-01T09:03:00Z</dcterms:modified>
</cp:coreProperties>
</file>